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EBF" w:rsidRDefault="00B53EBF">
      <w:pPr>
        <w:spacing w:line="480" w:lineRule="atLeast"/>
        <w:ind w:left="960" w:hanging="240"/>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○斑鳩町まちなか観光景観形成事業補助金交付要綱</w:t>
      </w:r>
    </w:p>
    <w:p w:rsidR="00B53EBF" w:rsidRDefault="00B53EBF">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平成２６年２月２１日</w:t>
      </w:r>
    </w:p>
    <w:p w:rsidR="00B53EBF" w:rsidRDefault="00B53EBF">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要綱第６号</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法隆寺をはじめとする世界文化遺産が存する本町の魅力ある歴史的な町並みの維持を図りながら、観光まちづくりを推進するために、それらを目的とする修景施設の新築、増築、改築、改修、移設等を行う者に対して、斑鳩町まちなか観光景観形成事業補助金（以下「補助金」という。）を交付することについて必要な事項を定めることを目的とする。</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（用語の定義）</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この要綱において、次の各号に掲げる用語の意義は、当該各号に定めるところによる。</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重点区域　地域における歴史的風致の維持及び向上に関する法律（平成２０年法律第４０号）第５条第１項に基づき作成し、同条第８項に基づく主務大臣の認定を受けた斑鳩町歴史的風致維持向上計画に記載されている重点区域をいう。</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特別用途地区　都市計画法（昭和４３年法律第１００号）第８条第１項第２号に規定する特別用途地区をいう。</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歴史的風致形成建造物　地域における歴史的風致の維持及び向上に関する法律第５条第２項第６号の計画期間内に限り、町長が同法第１２条に基づき指定する建造物をいう。</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（４）　修景　</w:t>
      </w:r>
      <w:r w:rsidR="00FA071B" w:rsidRPr="00FA071B">
        <w:rPr>
          <w:rFonts w:ascii="Century" w:eastAsia="ＭＳ 明朝" w:hAnsi="ＭＳ 明朝" w:cs="ＭＳ 明朝" w:hint="eastAsia"/>
          <w:color w:val="000000"/>
        </w:rPr>
        <w:t>建築物及びそれに附属する外構を歴史的な町並みに調和させる新築、増築、改築、改修、移設等をする行為であって、町並みの歴史的景観の向上につながると認められるもの（瓦の葺替え等、建築物の老朽化に伴う単なる更新工事等を除く。）をいう。なお、当該行為には、奈良県風致地区条例（昭和４５年３月奈良県条例第４３号）制定以前から存在する建築物等の意匠形態を、斑鳩町風致地区条例（平成２４年１２月斑鳩町条例第１９号）に適合させようとする行為を含むものとする。</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（補助対象者）</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第３条　補助金は、次の各号のいずれにも該当する者に対して交付する。</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重点区域内における歴史的な町並みの景観形成を目的として修景整備を行おうとする者</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町税に滞納がない者</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この要綱による補助金の交付を受けようとする修景事業に関して国、県、町の他の制度による補助金を受けていない者</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（補助対象事業及び補助金の交付額）</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補助対象となる修景事業の内容、補助金額及び補助限度額は、別表第１のとおりとする。</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前項の補助金の額に１，０００円未満の端数があるときは、これを切り捨てるものとする。</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補助金の交付を受けることができる者は、別記１の補助対象箇所において、修景事業を行おうとするものとする。</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補助対象となる修景事業は、当該事業に係る補助金の交付申請のあつた日の属する年度内に完了するものでなければならない。ただし、事業の規模や内容により、当該年度内に完了することが困難な場合は、この限りではない。</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補助金の交付の申請をしようとする者は、まちなか観光景観形成事業補助金交付申請書（様式第１号）に次に掲げる書類を添えて、町長に提出しなければならない。</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収支予算書（様式第２号）</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実施設計書（設計見積書）及び工事設計図面（配置図、平面図、立面図、仕上表、建具表、仕様書等）</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着工前の状況を示すカラー写真</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所有者であることを証する書類（</w:t>
      </w:r>
      <w:r w:rsidR="00FA071B">
        <w:rPr>
          <w:rFonts w:ascii="ＭＳ 明朝" w:eastAsia="ＭＳ 明朝" w:hAnsi="ＭＳ 明朝" w:cs="ＭＳ 明朝" w:hint="eastAsia"/>
          <w:color w:val="000000"/>
        </w:rPr>
        <w:t>新築の場合は当該建築物が自己所有物であることを申し立てる書類</w:t>
      </w:r>
      <w:r>
        <w:rPr>
          <w:rFonts w:ascii="ＭＳ 明朝" w:eastAsia="ＭＳ 明朝" w:hAnsi="ＭＳ 明朝" w:cs="ＭＳ 明朝" w:hint="eastAsia"/>
          <w:color w:val="000000"/>
        </w:rPr>
        <w:t>）</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誓約書（様式第３号）</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使用貸借契約書（申請者が所有者以外である場合のみ）</w:t>
      </w:r>
    </w:p>
    <w:p w:rsidR="00B53EBF" w:rsidRDefault="00FA071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w:t>
      </w:r>
      <w:r w:rsidR="00B53EBF">
        <w:rPr>
          <w:rFonts w:ascii="ＭＳ 明朝" w:eastAsia="ＭＳ 明朝" w:hAnsi="ＭＳ 明朝" w:cs="ＭＳ 明朝" w:hint="eastAsia"/>
          <w:color w:val="000000"/>
        </w:rPr>
        <w:t>）　その他町長が必要と認める書類</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（補助金の交付決定）</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町長は、前条の規定による補助金の交付申請があつたときは、当該申請に係る書類を審査し、補助金を交付すべきと認めた場合は、予算の範囲内で、まちなか観光景観形成事業補助金交付決定通知書（様式第４号）により、当該申請者に通知するものとする。</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町長は、補助金の交付を決定する場合において、補助目的を達成するため必要があると認めたときは、条件を付することができる。</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（補助金交付の申請事項の変更）</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補助金の交付決定を受けた申請者（以下「補助事業者」という。）は、申請書に記載した事項を変更しようとするときは、まちなか観光景観形成事業計画変更承認申請書（様式第５号）を町長に提出し、その承認を受けなければならない。</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る申請事項の変更の承認申請があつたときは、当該申請に係る書類を審査し、計画の変更を認める場合は、まちなか観光景観形成事業計画変更承認書（様式第６号）により、当該補助事業者に通知するものとする。</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（事業の中止又は廃止）</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補助事業者は、補助対象事業を中止し又は廃止しようとするときは、まちなか観光景観形成事業計画中止・廃止承認申請書（様式第７号）を町長に提出し、その承認を受けなければならない。</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る事業の中止又は廃止の承認申請があつたときは、当該申請に係る書類を審査し、計画の中止又は廃止を認める場合は、まちなか観光景観形成事業計画中止・廃止承認書（様式第８号）により、当該補助事業者に通知するものとする。</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補助事業者は、補助対象事業が完了したときは、速やかにまちなか観光景観形成事業実績報告書（様式第９号）に次に掲げる書類を添えて、町長に提出しなければならない。</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収支決算書（様式第１０号）</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実施工事図面</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工事請負契約書の写し</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（４）　支出証拠書類</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着工前、工事中、工事完成の状況を示すカラー写真</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その他町長が必要と認める書類</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（完了検査）</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町長は、前条の規定による報告書の提出を受けたときは、速やかに書類及び現場を審査し、町職員をして完了検査を行わせるものとする。</w:t>
      </w:r>
    </w:p>
    <w:p w:rsidR="00B53EBF" w:rsidRDefault="00FA071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前項の完了検査を行った</w:t>
      </w:r>
      <w:r w:rsidR="00B53EBF">
        <w:rPr>
          <w:rFonts w:ascii="ＭＳ 明朝" w:eastAsia="ＭＳ 明朝" w:hAnsi="ＭＳ 明朝" w:cs="ＭＳ 明朝" w:hint="eastAsia"/>
          <w:color w:val="000000"/>
        </w:rPr>
        <w:t>職員は、検査の結果、適正に事業が完了していると認めるときは、まちなか観光景観形成事業検査調書（様式第１１号）を作成するものとする。</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（補助金額の確定）</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町長は、前条の規定による審査及び完了検査の結果、補助金を交付することが適当であると認めたときは、補助金の交付額を確定し、まちなか観光景観形成事業補助金交付額確定通知書（様式第１２号）により、当該補助事業者に通知するものとする。</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（補助金の請求及び交付）</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町長は、前条の規定による補助金の交付額の確定後、まちなか観光景観形成事業補助金交付請求書（様式第１３号）による補助事業者の請求に基づき補助金を交付する。</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（補助金の交付決定の取消し）</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町長は、補助事業者が次の各号のいずれかに該当するときは、補助金交付決定の全部又は一部を取り消すことができる。</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補助金を他の用途に使用したとき。</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補助金の交付決定の内容又はこれに付した条件に違反したとき。</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不正の手段により補助金の交付の決定を受けたとき。</w:t>
      </w:r>
    </w:p>
    <w:p w:rsidR="00B53EBF" w:rsidRDefault="00B53EB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前各号に定めるもののほか、この要綱の規定に違反したとき。</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町長は、前条の規定により補助金交付決定の全部又は一部を取り消した場合において、既に交付された補助金があるときは、期限を定めて補助事業者にその返還を命じるものとする。</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（立入検査）</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町長は、当該補助事業を適正に執行するため必要があると認めるときは、町職員をして補助対象となる修景施設の整備工事等の施工の現場において、立ち入り検査を行わせ、状況を確認させることができる。</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（現状変更の制限等）</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補助事業者は、補助対象となつた修景施設について、補助事業が完了した後の１０年間、補助対象となつた修景施設の外観を変えるような現状変更行為をしてはならない。ただし、特別の理由等により町長の承認を受けた場合は、その限りではない。</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補助事業者は、補助対象となつた修景施設の保守及び保全に努めなければならない。</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補助事業者は、補助対象となつた修景施設を第三者に賃貸し、又は譲渡した場合は、前２項の規定を当該第三者に継承させなければならない。</w:t>
      </w:r>
    </w:p>
    <w:p w:rsidR="00B53EBF" w:rsidRDefault="00B53EB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第１７条　この要綱に定めるもののほか、この要綱の施行に関し必要な事項は、町長が別に定める。</w:t>
      </w:r>
    </w:p>
    <w:p w:rsidR="00B53EBF" w:rsidRDefault="00B53EBF">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この要綱は、平成２６年４月１日から施行する。</w:t>
      </w:r>
    </w:p>
    <w:p w:rsidR="00B53EBF" w:rsidRDefault="00B53EBF">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付　則（令和４年要綱第１５号）</w:t>
      </w:r>
    </w:p>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この要綱は、令和４年４月１日から施行する。</w:t>
      </w:r>
    </w:p>
    <w:p w:rsidR="00FA071B" w:rsidRDefault="00FA071B" w:rsidP="00FA071B">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付　則（令和６年要綱第４０号）</w:t>
      </w:r>
    </w:p>
    <w:p w:rsidR="00FA071B" w:rsidRDefault="00FA071B" w:rsidP="00FA071B">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この要綱は、令和６年５月７日から施行する。</w:t>
      </w:r>
    </w:p>
    <w:p w:rsidR="00FA071B" w:rsidRDefault="00FA071B" w:rsidP="00FA071B">
      <w:pPr>
        <w:spacing w:line="480" w:lineRule="atLeast"/>
        <w:ind w:firstLine="240"/>
        <w:rPr>
          <w:rFonts w:ascii="ＭＳ 明朝" w:eastAsia="ＭＳ 明朝" w:hAnsi="ＭＳ 明朝" w:cs="ＭＳ 明朝"/>
          <w:color w:val="000000"/>
        </w:rPr>
      </w:pPr>
    </w:p>
    <w:p w:rsidR="00FA071B" w:rsidRDefault="00FA071B" w:rsidP="00FA071B">
      <w:pPr>
        <w:spacing w:line="480" w:lineRule="atLeast"/>
        <w:ind w:firstLine="240"/>
        <w:rPr>
          <w:rFonts w:ascii="ＭＳ 明朝" w:eastAsia="ＭＳ 明朝" w:hAnsi="ＭＳ 明朝" w:cs="ＭＳ 明朝"/>
          <w:color w:val="000000"/>
        </w:rPr>
      </w:pPr>
    </w:p>
    <w:p w:rsidR="00FA071B" w:rsidRDefault="00FA071B" w:rsidP="00FA071B">
      <w:pPr>
        <w:spacing w:line="480" w:lineRule="atLeast"/>
        <w:ind w:firstLine="240"/>
        <w:rPr>
          <w:rFonts w:ascii="ＭＳ 明朝" w:eastAsia="ＭＳ 明朝" w:hAnsi="ＭＳ 明朝" w:cs="ＭＳ 明朝"/>
          <w:color w:val="000000"/>
        </w:rPr>
      </w:pPr>
    </w:p>
    <w:p w:rsidR="00FA071B" w:rsidRDefault="00FA071B" w:rsidP="00FA071B">
      <w:pPr>
        <w:spacing w:line="480" w:lineRule="atLeast"/>
        <w:ind w:firstLine="240"/>
        <w:rPr>
          <w:rFonts w:ascii="ＭＳ 明朝" w:eastAsia="ＭＳ 明朝" w:hAnsi="ＭＳ 明朝" w:cs="ＭＳ 明朝"/>
          <w:color w:val="000000"/>
        </w:rPr>
      </w:pPr>
    </w:p>
    <w:p w:rsidR="00FA071B" w:rsidRDefault="00FA071B" w:rsidP="00FA071B">
      <w:pPr>
        <w:spacing w:line="480" w:lineRule="atLeast"/>
        <w:ind w:firstLine="240"/>
        <w:rPr>
          <w:rFonts w:ascii="ＭＳ 明朝" w:eastAsia="ＭＳ 明朝" w:hAnsi="ＭＳ 明朝" w:cs="ＭＳ 明朝"/>
          <w:color w:val="000000"/>
        </w:rPr>
      </w:pPr>
    </w:p>
    <w:p w:rsidR="00FA071B" w:rsidRDefault="00FA071B" w:rsidP="00FA071B">
      <w:pPr>
        <w:spacing w:line="480" w:lineRule="atLeast"/>
        <w:ind w:firstLine="240"/>
        <w:rPr>
          <w:rFonts w:ascii="ＭＳ 明朝" w:eastAsia="ＭＳ 明朝" w:hAnsi="ＭＳ 明朝" w:cs="ＭＳ 明朝"/>
          <w:color w:val="000000"/>
        </w:rPr>
      </w:pPr>
    </w:p>
    <w:p w:rsidR="00FA071B" w:rsidRDefault="00FA071B" w:rsidP="00FA071B">
      <w:pPr>
        <w:spacing w:line="480" w:lineRule="atLeast"/>
        <w:ind w:firstLine="240"/>
        <w:rPr>
          <w:rFonts w:ascii="ＭＳ 明朝" w:eastAsia="ＭＳ 明朝" w:hAnsi="ＭＳ 明朝" w:cs="ＭＳ 明朝"/>
          <w:color w:val="000000"/>
        </w:rPr>
      </w:pPr>
    </w:p>
    <w:p w:rsidR="00FA071B" w:rsidRDefault="00FA071B" w:rsidP="00FA071B">
      <w:pPr>
        <w:spacing w:line="480" w:lineRule="atLeast"/>
        <w:ind w:firstLine="240"/>
        <w:rPr>
          <w:rFonts w:ascii="ＭＳ 明朝" w:eastAsia="ＭＳ 明朝" w:hAnsi="ＭＳ 明朝" w:cs="ＭＳ 明朝"/>
          <w:color w:val="000000"/>
        </w:rPr>
      </w:pP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別表第１</w:t>
      </w:r>
    </w:p>
    <w:tbl>
      <w:tblPr>
        <w:tblW w:w="0" w:type="auto"/>
        <w:tblInd w:w="5" w:type="dxa"/>
        <w:tblLayout w:type="fixed"/>
        <w:tblCellMar>
          <w:left w:w="0" w:type="dxa"/>
          <w:right w:w="0" w:type="dxa"/>
        </w:tblCellMar>
        <w:tblLook w:val="0000" w:firstRow="0" w:lastRow="0" w:firstColumn="0" w:lastColumn="0" w:noHBand="0" w:noVBand="0"/>
      </w:tblPr>
      <w:tblGrid>
        <w:gridCol w:w="725"/>
        <w:gridCol w:w="1269"/>
        <w:gridCol w:w="634"/>
        <w:gridCol w:w="544"/>
        <w:gridCol w:w="816"/>
        <w:gridCol w:w="2630"/>
        <w:gridCol w:w="725"/>
        <w:gridCol w:w="1542"/>
      </w:tblGrid>
      <w:tr w:rsidR="00B53EBF">
        <w:tblPrEx>
          <w:tblCellMar>
            <w:top w:w="0" w:type="dxa"/>
            <w:left w:w="0" w:type="dxa"/>
            <w:bottom w:w="0" w:type="dxa"/>
            <w:right w:w="0" w:type="dxa"/>
          </w:tblCellMar>
        </w:tblPrEx>
        <w:tc>
          <w:tcPr>
            <w:tcW w:w="725" w:type="dxa"/>
            <w:tcBorders>
              <w:top w:val="single" w:sz="4" w:space="0" w:color="000000"/>
              <w:left w:val="single" w:sz="4" w:space="0" w:color="000000"/>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補助対象区分</w:t>
            </w:r>
          </w:p>
        </w:tc>
        <w:tc>
          <w:tcPr>
            <w:tcW w:w="1269" w:type="dxa"/>
            <w:tcBorders>
              <w:top w:val="single" w:sz="4" w:space="0" w:color="000000"/>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tc>
        <w:tc>
          <w:tcPr>
            <w:tcW w:w="1994" w:type="dxa"/>
            <w:gridSpan w:val="3"/>
            <w:tcBorders>
              <w:top w:val="single" w:sz="4" w:space="0" w:color="000000"/>
              <w:left w:val="nil"/>
              <w:bottom w:val="single" w:sz="4" w:space="0" w:color="000000"/>
              <w:right w:val="single" w:sz="4" w:space="0" w:color="000000"/>
            </w:tcBorders>
          </w:tcPr>
          <w:p w:rsidR="00B53EBF" w:rsidRDefault="00B53EBF">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項目</w:t>
            </w:r>
          </w:p>
        </w:tc>
        <w:tc>
          <w:tcPr>
            <w:tcW w:w="2630" w:type="dxa"/>
            <w:tcBorders>
              <w:top w:val="single" w:sz="4" w:space="0" w:color="000000"/>
              <w:left w:val="nil"/>
              <w:bottom w:val="single" w:sz="4" w:space="0" w:color="000000"/>
              <w:right w:val="single" w:sz="4" w:space="0" w:color="000000"/>
            </w:tcBorders>
          </w:tcPr>
          <w:p w:rsidR="00B53EBF" w:rsidRDefault="00B53EBF">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修景基準</w:t>
            </w:r>
          </w:p>
        </w:tc>
        <w:tc>
          <w:tcPr>
            <w:tcW w:w="725" w:type="dxa"/>
            <w:tcBorders>
              <w:top w:val="single" w:sz="4" w:space="0" w:color="000000"/>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補助率</w:t>
            </w:r>
          </w:p>
        </w:tc>
        <w:tc>
          <w:tcPr>
            <w:tcW w:w="1542" w:type="dxa"/>
            <w:tcBorders>
              <w:top w:val="single" w:sz="4" w:space="0" w:color="000000"/>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補助金限度額</w:t>
            </w:r>
          </w:p>
        </w:tc>
      </w:tr>
      <w:tr w:rsidR="00B53EBF">
        <w:tblPrEx>
          <w:tblCellMar>
            <w:top w:w="0" w:type="dxa"/>
            <w:left w:w="0" w:type="dxa"/>
            <w:bottom w:w="0" w:type="dxa"/>
            <w:right w:w="0" w:type="dxa"/>
          </w:tblCellMar>
        </w:tblPrEx>
        <w:tc>
          <w:tcPr>
            <w:tcW w:w="725" w:type="dxa"/>
            <w:vMerge w:val="restart"/>
            <w:tcBorders>
              <w:top w:val="nil"/>
              <w:left w:val="single" w:sz="4" w:space="0" w:color="000000"/>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建築物等修景費</w:t>
            </w:r>
          </w:p>
        </w:tc>
        <w:tc>
          <w:tcPr>
            <w:tcW w:w="1269" w:type="dxa"/>
            <w:vMerge w:val="restart"/>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建築物の新築、増築、改築、改修等に係る工事費のうち外観に係る経費、建物の外観における色彩の修景費及びこれに伴う建築設計費</w:t>
            </w:r>
          </w:p>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※ただし、新築については、特別用途地区内における建築制限緩和対象建築物に限る。</w:t>
            </w:r>
          </w:p>
        </w:tc>
        <w:tc>
          <w:tcPr>
            <w:tcW w:w="634" w:type="dxa"/>
            <w:vMerge w:val="restart"/>
            <w:tcBorders>
              <w:top w:val="nil"/>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建築物</w:t>
            </w:r>
          </w:p>
        </w:tc>
        <w:tc>
          <w:tcPr>
            <w:tcW w:w="1360" w:type="dxa"/>
            <w:gridSpan w:val="2"/>
            <w:tcBorders>
              <w:top w:val="nil"/>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位置</w:t>
            </w:r>
          </w:p>
        </w:tc>
        <w:tc>
          <w:tcPr>
            <w:tcW w:w="2630" w:type="dxa"/>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建築物の位置は、可能な限り現存する歴史的町並みの壁面線に揃え、連続性を維持する。やむをえず後退させる場合は、伝統的な塀等を設置し、町並みの連続性を維持すること。</w:t>
            </w:r>
          </w:p>
        </w:tc>
        <w:tc>
          <w:tcPr>
            <w:tcW w:w="725" w:type="dxa"/>
            <w:vMerge w:val="restart"/>
            <w:tcBorders>
              <w:top w:val="nil"/>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補助対象経費の３分の２以内</w:t>
            </w:r>
          </w:p>
        </w:tc>
        <w:tc>
          <w:tcPr>
            <w:tcW w:w="1542" w:type="dxa"/>
            <w:vMerge w:val="restart"/>
            <w:tcBorders>
              <w:top w:val="nil"/>
              <w:left w:val="nil"/>
              <w:bottom w:val="single" w:sz="4" w:space="0" w:color="000000"/>
              <w:right w:val="single" w:sz="4" w:space="0" w:color="000000"/>
            </w:tcBorders>
          </w:tcPr>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・歴史的風致形成建造物（１回限りかつ一体的／１棟）は、１，０００万円</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・その他の建築物（１回限りかつ一体的／１棟）は、３００万円</w:t>
            </w:r>
          </w:p>
        </w:tc>
      </w:tr>
      <w:tr w:rsidR="00B53EBF">
        <w:tblPrEx>
          <w:tblCellMar>
            <w:top w:w="0" w:type="dxa"/>
            <w:left w:w="0" w:type="dxa"/>
            <w:bottom w:w="0" w:type="dxa"/>
            <w:right w:w="0" w:type="dxa"/>
          </w:tblCellMar>
        </w:tblPrEx>
        <w:tc>
          <w:tcPr>
            <w:tcW w:w="725" w:type="dxa"/>
            <w:vMerge/>
            <w:tcBorders>
              <w:top w:val="nil"/>
              <w:left w:val="single" w:sz="4" w:space="0" w:color="000000"/>
              <w:bottom w:val="single" w:sz="4" w:space="0" w:color="000000"/>
              <w:right w:val="single" w:sz="4" w:space="0" w:color="000000"/>
            </w:tcBorders>
          </w:tcPr>
          <w:p w:rsidR="00B53EBF" w:rsidRDefault="00B53EBF"/>
        </w:tc>
        <w:tc>
          <w:tcPr>
            <w:tcW w:w="1269" w:type="dxa"/>
            <w:vMerge/>
            <w:tcBorders>
              <w:top w:val="nil"/>
              <w:left w:val="nil"/>
              <w:bottom w:val="single" w:sz="4" w:space="0" w:color="000000"/>
              <w:right w:val="single" w:sz="4" w:space="0" w:color="000000"/>
            </w:tcBorders>
          </w:tcPr>
          <w:p w:rsidR="00B53EBF" w:rsidRDefault="00B53EBF"/>
        </w:tc>
        <w:tc>
          <w:tcPr>
            <w:tcW w:w="634" w:type="dxa"/>
            <w:vMerge/>
            <w:tcBorders>
              <w:top w:val="nil"/>
              <w:left w:val="nil"/>
              <w:bottom w:val="single" w:sz="4" w:space="0" w:color="000000"/>
              <w:right w:val="single" w:sz="4" w:space="0" w:color="000000"/>
            </w:tcBorders>
          </w:tcPr>
          <w:p w:rsidR="00B53EBF" w:rsidRDefault="00B53EBF"/>
        </w:tc>
        <w:tc>
          <w:tcPr>
            <w:tcW w:w="1360" w:type="dxa"/>
            <w:gridSpan w:val="2"/>
            <w:tcBorders>
              <w:top w:val="nil"/>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高さ</w:t>
            </w:r>
          </w:p>
        </w:tc>
        <w:tc>
          <w:tcPr>
            <w:tcW w:w="2630" w:type="dxa"/>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階数は、２階までとする。</w:t>
            </w:r>
          </w:p>
        </w:tc>
        <w:tc>
          <w:tcPr>
            <w:tcW w:w="725"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c>
          <w:tcPr>
            <w:tcW w:w="1542"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r>
      <w:tr w:rsidR="00B53EBF">
        <w:tblPrEx>
          <w:tblCellMar>
            <w:top w:w="0" w:type="dxa"/>
            <w:left w:w="0" w:type="dxa"/>
            <w:bottom w:w="0" w:type="dxa"/>
            <w:right w:w="0" w:type="dxa"/>
          </w:tblCellMar>
        </w:tblPrEx>
        <w:tc>
          <w:tcPr>
            <w:tcW w:w="725" w:type="dxa"/>
            <w:vMerge/>
            <w:tcBorders>
              <w:top w:val="nil"/>
              <w:left w:val="single" w:sz="4" w:space="0" w:color="000000"/>
              <w:bottom w:val="single" w:sz="4" w:space="0" w:color="000000"/>
              <w:right w:val="single" w:sz="4" w:space="0" w:color="000000"/>
            </w:tcBorders>
          </w:tcPr>
          <w:p w:rsidR="00B53EBF" w:rsidRDefault="00B53EBF"/>
        </w:tc>
        <w:tc>
          <w:tcPr>
            <w:tcW w:w="1269" w:type="dxa"/>
            <w:vMerge/>
            <w:tcBorders>
              <w:top w:val="nil"/>
              <w:left w:val="nil"/>
              <w:bottom w:val="single" w:sz="4" w:space="0" w:color="000000"/>
              <w:right w:val="single" w:sz="4" w:space="0" w:color="000000"/>
            </w:tcBorders>
          </w:tcPr>
          <w:p w:rsidR="00B53EBF" w:rsidRDefault="00B53EBF"/>
        </w:tc>
        <w:tc>
          <w:tcPr>
            <w:tcW w:w="634" w:type="dxa"/>
            <w:vMerge/>
            <w:tcBorders>
              <w:top w:val="nil"/>
              <w:left w:val="nil"/>
              <w:bottom w:val="single" w:sz="4" w:space="0" w:color="000000"/>
              <w:right w:val="single" w:sz="4" w:space="0" w:color="000000"/>
            </w:tcBorders>
          </w:tcPr>
          <w:p w:rsidR="00B53EBF" w:rsidRDefault="00B53EBF"/>
        </w:tc>
        <w:tc>
          <w:tcPr>
            <w:tcW w:w="544" w:type="dxa"/>
            <w:vMerge w:val="restart"/>
            <w:tcBorders>
              <w:top w:val="nil"/>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意匠及び形態</w:t>
            </w:r>
          </w:p>
        </w:tc>
        <w:tc>
          <w:tcPr>
            <w:tcW w:w="816" w:type="dxa"/>
            <w:tcBorders>
              <w:top w:val="nil"/>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デザイン</w:t>
            </w:r>
          </w:p>
        </w:tc>
        <w:tc>
          <w:tcPr>
            <w:tcW w:w="2630" w:type="dxa"/>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現存する歴史的町並みを形成する建築物に調和するものとする。</w:t>
            </w:r>
          </w:p>
        </w:tc>
        <w:tc>
          <w:tcPr>
            <w:tcW w:w="725"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c>
          <w:tcPr>
            <w:tcW w:w="1542"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r>
      <w:tr w:rsidR="00B53EBF">
        <w:tblPrEx>
          <w:tblCellMar>
            <w:top w:w="0" w:type="dxa"/>
            <w:left w:w="0" w:type="dxa"/>
            <w:bottom w:w="0" w:type="dxa"/>
            <w:right w:w="0" w:type="dxa"/>
          </w:tblCellMar>
        </w:tblPrEx>
        <w:tc>
          <w:tcPr>
            <w:tcW w:w="725" w:type="dxa"/>
            <w:vMerge/>
            <w:tcBorders>
              <w:top w:val="nil"/>
              <w:left w:val="single" w:sz="4" w:space="0" w:color="000000"/>
              <w:bottom w:val="single" w:sz="4" w:space="0" w:color="000000"/>
              <w:right w:val="single" w:sz="4" w:space="0" w:color="000000"/>
            </w:tcBorders>
          </w:tcPr>
          <w:p w:rsidR="00B53EBF" w:rsidRDefault="00B53EBF"/>
        </w:tc>
        <w:tc>
          <w:tcPr>
            <w:tcW w:w="1269" w:type="dxa"/>
            <w:vMerge/>
            <w:tcBorders>
              <w:top w:val="nil"/>
              <w:left w:val="nil"/>
              <w:bottom w:val="single" w:sz="4" w:space="0" w:color="000000"/>
              <w:right w:val="single" w:sz="4" w:space="0" w:color="000000"/>
            </w:tcBorders>
          </w:tcPr>
          <w:p w:rsidR="00B53EBF" w:rsidRDefault="00B53EBF"/>
        </w:tc>
        <w:tc>
          <w:tcPr>
            <w:tcW w:w="634" w:type="dxa"/>
            <w:vMerge/>
            <w:tcBorders>
              <w:top w:val="nil"/>
              <w:left w:val="nil"/>
              <w:bottom w:val="single" w:sz="4" w:space="0" w:color="000000"/>
              <w:right w:val="single" w:sz="4" w:space="0" w:color="000000"/>
            </w:tcBorders>
          </w:tcPr>
          <w:p w:rsidR="00B53EBF" w:rsidRDefault="00B53EBF"/>
        </w:tc>
        <w:tc>
          <w:tcPr>
            <w:tcW w:w="544" w:type="dxa"/>
            <w:vMerge/>
            <w:tcBorders>
              <w:top w:val="nil"/>
              <w:left w:val="nil"/>
              <w:bottom w:val="single" w:sz="4" w:space="0" w:color="000000"/>
              <w:right w:val="single" w:sz="4" w:space="0" w:color="000000"/>
            </w:tcBorders>
          </w:tcPr>
          <w:p w:rsidR="00B53EBF" w:rsidRDefault="00B53EBF"/>
        </w:tc>
        <w:tc>
          <w:tcPr>
            <w:tcW w:w="816" w:type="dxa"/>
            <w:tcBorders>
              <w:top w:val="nil"/>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屋根</w:t>
            </w:r>
          </w:p>
        </w:tc>
        <w:tc>
          <w:tcPr>
            <w:tcW w:w="2630" w:type="dxa"/>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勾配屋根とし、和型瓦又はそれに調和するものとする。</w:t>
            </w:r>
          </w:p>
        </w:tc>
        <w:tc>
          <w:tcPr>
            <w:tcW w:w="725"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c>
          <w:tcPr>
            <w:tcW w:w="1542"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r>
      <w:tr w:rsidR="00B53EBF">
        <w:tblPrEx>
          <w:tblCellMar>
            <w:top w:w="0" w:type="dxa"/>
            <w:left w:w="0" w:type="dxa"/>
            <w:bottom w:w="0" w:type="dxa"/>
            <w:right w:w="0" w:type="dxa"/>
          </w:tblCellMar>
        </w:tblPrEx>
        <w:tc>
          <w:tcPr>
            <w:tcW w:w="725" w:type="dxa"/>
            <w:vMerge/>
            <w:tcBorders>
              <w:top w:val="nil"/>
              <w:left w:val="single" w:sz="4" w:space="0" w:color="000000"/>
              <w:bottom w:val="single" w:sz="4" w:space="0" w:color="000000"/>
              <w:right w:val="single" w:sz="4" w:space="0" w:color="000000"/>
            </w:tcBorders>
          </w:tcPr>
          <w:p w:rsidR="00B53EBF" w:rsidRDefault="00B53EBF"/>
        </w:tc>
        <w:tc>
          <w:tcPr>
            <w:tcW w:w="1269" w:type="dxa"/>
            <w:vMerge/>
            <w:tcBorders>
              <w:top w:val="nil"/>
              <w:left w:val="nil"/>
              <w:bottom w:val="single" w:sz="4" w:space="0" w:color="000000"/>
              <w:right w:val="single" w:sz="4" w:space="0" w:color="000000"/>
            </w:tcBorders>
          </w:tcPr>
          <w:p w:rsidR="00B53EBF" w:rsidRDefault="00B53EBF"/>
        </w:tc>
        <w:tc>
          <w:tcPr>
            <w:tcW w:w="634" w:type="dxa"/>
            <w:vMerge/>
            <w:tcBorders>
              <w:top w:val="nil"/>
              <w:left w:val="nil"/>
              <w:bottom w:val="single" w:sz="4" w:space="0" w:color="000000"/>
              <w:right w:val="single" w:sz="4" w:space="0" w:color="000000"/>
            </w:tcBorders>
          </w:tcPr>
          <w:p w:rsidR="00B53EBF" w:rsidRDefault="00B53EBF"/>
        </w:tc>
        <w:tc>
          <w:tcPr>
            <w:tcW w:w="544" w:type="dxa"/>
            <w:vMerge/>
            <w:tcBorders>
              <w:top w:val="nil"/>
              <w:left w:val="nil"/>
              <w:bottom w:val="single" w:sz="4" w:space="0" w:color="000000"/>
              <w:right w:val="single" w:sz="4" w:space="0" w:color="000000"/>
            </w:tcBorders>
          </w:tcPr>
          <w:p w:rsidR="00B53EBF" w:rsidRDefault="00B53EBF"/>
        </w:tc>
        <w:tc>
          <w:tcPr>
            <w:tcW w:w="816" w:type="dxa"/>
            <w:tcBorders>
              <w:top w:val="nil"/>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外壁</w:t>
            </w:r>
          </w:p>
        </w:tc>
        <w:tc>
          <w:tcPr>
            <w:tcW w:w="2630" w:type="dxa"/>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外壁は、周囲の景観と調和した材質感のある材料を使用するものとする。</w:t>
            </w:r>
          </w:p>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腰壁を設ける場合は、板、焼き板、その他これらに類似する外観を有する材料を使用する。</w:t>
            </w:r>
          </w:p>
        </w:tc>
        <w:tc>
          <w:tcPr>
            <w:tcW w:w="725"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c>
          <w:tcPr>
            <w:tcW w:w="1542"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r>
      <w:tr w:rsidR="00B53EBF">
        <w:tblPrEx>
          <w:tblCellMar>
            <w:top w:w="0" w:type="dxa"/>
            <w:left w:w="0" w:type="dxa"/>
            <w:bottom w:w="0" w:type="dxa"/>
            <w:right w:w="0" w:type="dxa"/>
          </w:tblCellMar>
        </w:tblPrEx>
        <w:tc>
          <w:tcPr>
            <w:tcW w:w="725" w:type="dxa"/>
            <w:vMerge/>
            <w:tcBorders>
              <w:top w:val="nil"/>
              <w:left w:val="single" w:sz="4" w:space="0" w:color="000000"/>
              <w:bottom w:val="single" w:sz="4" w:space="0" w:color="000000"/>
              <w:right w:val="single" w:sz="4" w:space="0" w:color="000000"/>
            </w:tcBorders>
          </w:tcPr>
          <w:p w:rsidR="00B53EBF" w:rsidRDefault="00B53EBF"/>
        </w:tc>
        <w:tc>
          <w:tcPr>
            <w:tcW w:w="1269" w:type="dxa"/>
            <w:vMerge/>
            <w:tcBorders>
              <w:top w:val="nil"/>
              <w:left w:val="nil"/>
              <w:bottom w:val="single" w:sz="4" w:space="0" w:color="000000"/>
              <w:right w:val="single" w:sz="4" w:space="0" w:color="000000"/>
            </w:tcBorders>
          </w:tcPr>
          <w:p w:rsidR="00B53EBF" w:rsidRDefault="00B53EBF"/>
        </w:tc>
        <w:tc>
          <w:tcPr>
            <w:tcW w:w="634" w:type="dxa"/>
            <w:vMerge/>
            <w:tcBorders>
              <w:top w:val="nil"/>
              <w:left w:val="nil"/>
              <w:bottom w:val="single" w:sz="4" w:space="0" w:color="000000"/>
              <w:right w:val="single" w:sz="4" w:space="0" w:color="000000"/>
            </w:tcBorders>
          </w:tcPr>
          <w:p w:rsidR="00B53EBF" w:rsidRDefault="00B53EBF"/>
        </w:tc>
        <w:tc>
          <w:tcPr>
            <w:tcW w:w="544" w:type="dxa"/>
            <w:vMerge/>
            <w:tcBorders>
              <w:top w:val="nil"/>
              <w:left w:val="nil"/>
              <w:bottom w:val="single" w:sz="4" w:space="0" w:color="000000"/>
              <w:right w:val="single" w:sz="4" w:space="0" w:color="000000"/>
            </w:tcBorders>
          </w:tcPr>
          <w:p w:rsidR="00B53EBF" w:rsidRDefault="00B53EBF"/>
        </w:tc>
        <w:tc>
          <w:tcPr>
            <w:tcW w:w="816" w:type="dxa"/>
            <w:tcBorders>
              <w:top w:val="nil"/>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出入</w:t>
            </w:r>
            <w:r>
              <w:rPr>
                <w:rFonts w:ascii="ＭＳ 明朝" w:eastAsia="ＭＳ 明朝" w:hAnsi="ＭＳ 明朝" w:cs="ＭＳ 明朝" w:hint="eastAsia"/>
                <w:color w:val="000000"/>
              </w:rPr>
              <w:lastRenderedPageBreak/>
              <w:t>口、窓等</w:t>
            </w:r>
          </w:p>
        </w:tc>
        <w:tc>
          <w:tcPr>
            <w:tcW w:w="2630" w:type="dxa"/>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建具は、歴史的町並み</w:t>
            </w:r>
            <w:r>
              <w:rPr>
                <w:rFonts w:ascii="ＭＳ 明朝" w:eastAsia="ＭＳ 明朝" w:hAnsi="ＭＳ 明朝" w:cs="ＭＳ 明朝" w:hint="eastAsia"/>
                <w:color w:val="000000"/>
              </w:rPr>
              <w:lastRenderedPageBreak/>
              <w:t>を形成する建築物と調和するよう木製又は木調とする。</w:t>
            </w:r>
          </w:p>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できるだけ、出入口は、格子戸、窓には、格子を設け、材料は木製又は木調とする。</w:t>
            </w:r>
          </w:p>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シャッター付きの出入口等を設ける場合は、シャッターボックスを外部に露出しない工夫を施し、シャッターは、当該建築物の外壁と調和する色彩又は仕上げとし、通りの景観に配慮したものとする。</w:t>
            </w:r>
          </w:p>
        </w:tc>
        <w:tc>
          <w:tcPr>
            <w:tcW w:w="725"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c>
          <w:tcPr>
            <w:tcW w:w="1542"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r>
      <w:tr w:rsidR="00B53EBF">
        <w:tblPrEx>
          <w:tblCellMar>
            <w:top w:w="0" w:type="dxa"/>
            <w:left w:w="0" w:type="dxa"/>
            <w:bottom w:w="0" w:type="dxa"/>
            <w:right w:w="0" w:type="dxa"/>
          </w:tblCellMar>
        </w:tblPrEx>
        <w:tc>
          <w:tcPr>
            <w:tcW w:w="725" w:type="dxa"/>
            <w:vMerge/>
            <w:tcBorders>
              <w:top w:val="nil"/>
              <w:left w:val="single" w:sz="4" w:space="0" w:color="000000"/>
              <w:bottom w:val="single" w:sz="4" w:space="0" w:color="000000"/>
              <w:right w:val="single" w:sz="4" w:space="0" w:color="000000"/>
            </w:tcBorders>
          </w:tcPr>
          <w:p w:rsidR="00B53EBF" w:rsidRDefault="00B53EBF"/>
        </w:tc>
        <w:tc>
          <w:tcPr>
            <w:tcW w:w="1269" w:type="dxa"/>
            <w:vMerge/>
            <w:tcBorders>
              <w:top w:val="nil"/>
              <w:left w:val="nil"/>
              <w:bottom w:val="single" w:sz="4" w:space="0" w:color="000000"/>
              <w:right w:val="single" w:sz="4" w:space="0" w:color="000000"/>
            </w:tcBorders>
          </w:tcPr>
          <w:p w:rsidR="00B53EBF" w:rsidRDefault="00B53EBF"/>
        </w:tc>
        <w:tc>
          <w:tcPr>
            <w:tcW w:w="634" w:type="dxa"/>
            <w:vMerge/>
            <w:tcBorders>
              <w:top w:val="nil"/>
              <w:left w:val="nil"/>
              <w:bottom w:val="single" w:sz="4" w:space="0" w:color="000000"/>
              <w:right w:val="single" w:sz="4" w:space="0" w:color="000000"/>
            </w:tcBorders>
          </w:tcPr>
          <w:p w:rsidR="00B53EBF" w:rsidRDefault="00B53EBF"/>
        </w:tc>
        <w:tc>
          <w:tcPr>
            <w:tcW w:w="544" w:type="dxa"/>
            <w:vMerge/>
            <w:tcBorders>
              <w:top w:val="nil"/>
              <w:left w:val="nil"/>
              <w:bottom w:val="single" w:sz="4" w:space="0" w:color="000000"/>
              <w:right w:val="single" w:sz="4" w:space="0" w:color="000000"/>
            </w:tcBorders>
          </w:tcPr>
          <w:p w:rsidR="00B53EBF" w:rsidRDefault="00B53EBF"/>
        </w:tc>
        <w:tc>
          <w:tcPr>
            <w:tcW w:w="816" w:type="dxa"/>
            <w:tcBorders>
              <w:top w:val="nil"/>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建築設備</w:t>
            </w:r>
          </w:p>
        </w:tc>
        <w:tc>
          <w:tcPr>
            <w:tcW w:w="2630" w:type="dxa"/>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建築設備は、道路から見えない位置に設置する。道路から見える位置に設置する場合は、木製の格子等で囲うなどの工夫を施す。</w:t>
            </w:r>
          </w:p>
        </w:tc>
        <w:tc>
          <w:tcPr>
            <w:tcW w:w="725"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c>
          <w:tcPr>
            <w:tcW w:w="1542"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r>
      <w:tr w:rsidR="00B53EBF">
        <w:tblPrEx>
          <w:tblCellMar>
            <w:top w:w="0" w:type="dxa"/>
            <w:left w:w="0" w:type="dxa"/>
            <w:bottom w:w="0" w:type="dxa"/>
            <w:right w:w="0" w:type="dxa"/>
          </w:tblCellMar>
        </w:tblPrEx>
        <w:tc>
          <w:tcPr>
            <w:tcW w:w="725" w:type="dxa"/>
            <w:vMerge w:val="restart"/>
            <w:tcBorders>
              <w:top w:val="nil"/>
              <w:left w:val="single" w:sz="4" w:space="0" w:color="000000"/>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外構修景費</w:t>
            </w:r>
          </w:p>
        </w:tc>
        <w:tc>
          <w:tcPr>
            <w:tcW w:w="1269" w:type="dxa"/>
            <w:vMerge w:val="restart"/>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道路等に面する部分の塀、門、生垣、植栽の整備に要する工事費及びこれに</w:t>
            </w:r>
            <w:r>
              <w:rPr>
                <w:rFonts w:ascii="ＭＳ 明朝" w:eastAsia="ＭＳ 明朝" w:hAnsi="ＭＳ 明朝" w:cs="ＭＳ 明朝" w:hint="eastAsia"/>
                <w:color w:val="000000"/>
              </w:rPr>
              <w:lastRenderedPageBreak/>
              <w:t>伴う建築設計費</w:t>
            </w:r>
          </w:p>
        </w:tc>
        <w:tc>
          <w:tcPr>
            <w:tcW w:w="1994" w:type="dxa"/>
            <w:gridSpan w:val="3"/>
            <w:tcBorders>
              <w:top w:val="nil"/>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塀</w:t>
            </w:r>
          </w:p>
        </w:tc>
        <w:tc>
          <w:tcPr>
            <w:tcW w:w="2630" w:type="dxa"/>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塀は、歴史的町並みに調和した材質感のある材料を基調とした和風塀とする。また、町並みの連続性に配慮すること。</w:t>
            </w:r>
          </w:p>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腰壁を設ける場合は、板、焼き板、その他これ</w:t>
            </w:r>
            <w:r>
              <w:rPr>
                <w:rFonts w:ascii="ＭＳ 明朝" w:eastAsia="ＭＳ 明朝" w:hAnsi="ＭＳ 明朝" w:cs="ＭＳ 明朝" w:hint="eastAsia"/>
                <w:color w:val="000000"/>
              </w:rPr>
              <w:lastRenderedPageBreak/>
              <w:t>らに類似する外観を有する材料を使用する。</w:t>
            </w:r>
          </w:p>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なお、移設を含む。</w:t>
            </w:r>
          </w:p>
        </w:tc>
        <w:tc>
          <w:tcPr>
            <w:tcW w:w="725"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c>
          <w:tcPr>
            <w:tcW w:w="1542" w:type="dxa"/>
            <w:vMerge w:val="restart"/>
            <w:tcBorders>
              <w:top w:val="nil"/>
              <w:left w:val="nil"/>
              <w:bottom w:val="single" w:sz="4" w:space="0" w:color="000000"/>
              <w:right w:val="single" w:sz="4" w:space="0" w:color="000000"/>
            </w:tcBorders>
          </w:tcPr>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・歴史的風致形成建造物は、それぞれの項目ごとに３００万円</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・その他の外</w:t>
            </w:r>
            <w:r>
              <w:rPr>
                <w:rFonts w:ascii="ＭＳ 明朝" w:eastAsia="ＭＳ 明朝" w:hAnsi="ＭＳ 明朝" w:cs="ＭＳ 明朝" w:hint="eastAsia"/>
                <w:color w:val="000000"/>
              </w:rPr>
              <w:lastRenderedPageBreak/>
              <w:t>構施設は、それぞれの項目ごとに７０万円</w:t>
            </w:r>
          </w:p>
        </w:tc>
      </w:tr>
      <w:tr w:rsidR="00B53EBF">
        <w:tblPrEx>
          <w:tblCellMar>
            <w:top w:w="0" w:type="dxa"/>
            <w:left w:w="0" w:type="dxa"/>
            <w:bottom w:w="0" w:type="dxa"/>
            <w:right w:w="0" w:type="dxa"/>
          </w:tblCellMar>
        </w:tblPrEx>
        <w:tc>
          <w:tcPr>
            <w:tcW w:w="725" w:type="dxa"/>
            <w:vMerge/>
            <w:tcBorders>
              <w:top w:val="nil"/>
              <w:left w:val="single" w:sz="4" w:space="0" w:color="000000"/>
              <w:bottom w:val="single" w:sz="4" w:space="0" w:color="000000"/>
              <w:right w:val="single" w:sz="4" w:space="0" w:color="000000"/>
            </w:tcBorders>
          </w:tcPr>
          <w:p w:rsidR="00B53EBF" w:rsidRDefault="00B53EBF"/>
        </w:tc>
        <w:tc>
          <w:tcPr>
            <w:tcW w:w="1269" w:type="dxa"/>
            <w:vMerge/>
            <w:tcBorders>
              <w:top w:val="nil"/>
              <w:left w:val="nil"/>
              <w:bottom w:val="single" w:sz="4" w:space="0" w:color="000000"/>
              <w:right w:val="single" w:sz="4" w:space="0" w:color="000000"/>
            </w:tcBorders>
          </w:tcPr>
          <w:p w:rsidR="00B53EBF" w:rsidRDefault="00B53EBF"/>
        </w:tc>
        <w:tc>
          <w:tcPr>
            <w:tcW w:w="1994" w:type="dxa"/>
            <w:gridSpan w:val="3"/>
            <w:tcBorders>
              <w:top w:val="nil"/>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門</w:t>
            </w:r>
          </w:p>
        </w:tc>
        <w:tc>
          <w:tcPr>
            <w:tcW w:w="2630" w:type="dxa"/>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門は、塀やその他の建物と一体感を持たせ、周囲の景観との調和及び町並みの連続性に配慮すること。</w:t>
            </w:r>
          </w:p>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なお、移設を含む。</w:t>
            </w:r>
          </w:p>
        </w:tc>
        <w:tc>
          <w:tcPr>
            <w:tcW w:w="725"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c>
          <w:tcPr>
            <w:tcW w:w="1542"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r>
      <w:tr w:rsidR="00B53EBF">
        <w:tblPrEx>
          <w:tblCellMar>
            <w:top w:w="0" w:type="dxa"/>
            <w:left w:w="0" w:type="dxa"/>
            <w:bottom w:w="0" w:type="dxa"/>
            <w:right w:w="0" w:type="dxa"/>
          </w:tblCellMar>
        </w:tblPrEx>
        <w:tc>
          <w:tcPr>
            <w:tcW w:w="725" w:type="dxa"/>
            <w:vMerge/>
            <w:tcBorders>
              <w:top w:val="nil"/>
              <w:left w:val="single" w:sz="4" w:space="0" w:color="000000"/>
              <w:bottom w:val="single" w:sz="4" w:space="0" w:color="000000"/>
              <w:right w:val="single" w:sz="4" w:space="0" w:color="000000"/>
            </w:tcBorders>
          </w:tcPr>
          <w:p w:rsidR="00B53EBF" w:rsidRDefault="00B53EBF"/>
        </w:tc>
        <w:tc>
          <w:tcPr>
            <w:tcW w:w="1269" w:type="dxa"/>
            <w:vMerge/>
            <w:tcBorders>
              <w:top w:val="nil"/>
              <w:left w:val="nil"/>
              <w:bottom w:val="single" w:sz="4" w:space="0" w:color="000000"/>
              <w:right w:val="single" w:sz="4" w:space="0" w:color="000000"/>
            </w:tcBorders>
          </w:tcPr>
          <w:p w:rsidR="00B53EBF" w:rsidRDefault="00B53EBF"/>
        </w:tc>
        <w:tc>
          <w:tcPr>
            <w:tcW w:w="1994" w:type="dxa"/>
            <w:gridSpan w:val="3"/>
            <w:tcBorders>
              <w:top w:val="nil"/>
              <w:left w:val="nil"/>
              <w:bottom w:val="single" w:sz="4" w:space="0" w:color="000000"/>
              <w:right w:val="single" w:sz="4" w:space="0" w:color="000000"/>
            </w:tcBorders>
          </w:tcPr>
          <w:p w:rsidR="00B53EBF" w:rsidRDefault="00B53EBF">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生垣、植栽</w:t>
            </w:r>
          </w:p>
        </w:tc>
        <w:tc>
          <w:tcPr>
            <w:tcW w:w="2630" w:type="dxa"/>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生垣は、木、竹等の自然素材を使用する。</w:t>
            </w:r>
          </w:p>
          <w:p w:rsidR="00B53EBF" w:rsidRDefault="00B53EB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なお、移設を含む。</w:t>
            </w:r>
          </w:p>
        </w:tc>
        <w:tc>
          <w:tcPr>
            <w:tcW w:w="725"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c>
          <w:tcPr>
            <w:tcW w:w="1542" w:type="dxa"/>
            <w:vMerge/>
            <w:tcBorders>
              <w:top w:val="nil"/>
              <w:left w:val="nil"/>
              <w:bottom w:val="single" w:sz="4" w:space="0" w:color="000000"/>
              <w:right w:val="single" w:sz="4" w:space="0" w:color="000000"/>
            </w:tcBorders>
          </w:tcPr>
          <w:p w:rsidR="00B53EBF" w:rsidRDefault="00B53EBF">
            <w:pPr>
              <w:spacing w:line="480" w:lineRule="atLeast"/>
              <w:ind w:firstLine="240"/>
              <w:rPr>
                <w:rFonts w:ascii="ＭＳ 明朝" w:eastAsia="ＭＳ 明朝" w:hAnsi="ＭＳ 明朝" w:cs="ＭＳ 明朝"/>
                <w:color w:val="000000"/>
              </w:rPr>
            </w:pPr>
          </w:p>
        </w:tc>
      </w:tr>
    </w:tbl>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851B1E">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45480" cy="8343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B53EBF">
      <w:pPr>
        <w:spacing w:line="480" w:lineRule="atLeast"/>
        <w:jc w:val="center"/>
        <w:rPr>
          <w:rFonts w:ascii="ＭＳ 明朝" w:eastAsia="ＭＳ 明朝" w:hAnsi="ＭＳ 明朝" w:cs="ＭＳ 明朝"/>
          <w:color w:val="000000"/>
        </w:rPr>
      </w:pPr>
    </w:p>
    <w:p w:rsidR="00B53EBF" w:rsidRPr="00E04707" w:rsidRDefault="00851B1E">
      <w:pPr>
        <w:sectPr w:rsidR="00B53EBF" w:rsidRPr="00E04707">
          <w:pgSz w:w="11905" w:h="16837"/>
          <w:pgMar w:top="1417" w:right="1417" w:bottom="1417" w:left="1417" w:header="720" w:footer="720" w:gutter="0"/>
          <w:cols w:space="720"/>
          <w:noEndnote/>
          <w:docGrid w:type="linesAndChars" w:linePitch="466" w:charSpace="-409"/>
        </w:sectPr>
      </w:pPr>
      <w:r w:rsidRPr="00E04707">
        <w:rPr>
          <w:noProof/>
        </w:rPr>
        <w:drawing>
          <wp:inline distT="0" distB="0" distL="0" distR="0">
            <wp:extent cx="5760720" cy="817626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176260"/>
                    </a:xfrm>
                    <a:prstGeom prst="rect">
                      <a:avLst/>
                    </a:prstGeom>
                    <a:noFill/>
                    <a:ln>
                      <a:noFill/>
                    </a:ln>
                  </pic:spPr>
                </pic:pic>
              </a:graphicData>
            </a:graphic>
          </wp:inline>
        </w:drawing>
      </w:r>
    </w:p>
    <w:p w:rsidR="00B53EBF" w:rsidRDefault="00851B1E">
      <w:pPr>
        <w:spacing w:line="480" w:lineRule="atLeast"/>
        <w:jc w:val="center"/>
        <w:rPr>
          <w:rFonts w:ascii="ＭＳ 明朝" w:eastAsia="ＭＳ 明朝" w:hAnsi="ＭＳ 明朝" w:cs="ＭＳ 明朝"/>
          <w:color w:val="000000"/>
        </w:rPr>
      </w:pPr>
      <w:r w:rsidRPr="00E04707">
        <w:rPr>
          <w:rFonts w:ascii="ＭＳ 明朝" w:eastAsia="ＭＳ 明朝" w:hAnsi="ＭＳ 明朝" w:cs="ＭＳ 明朝"/>
          <w:noProof/>
          <w:color w:val="000000"/>
        </w:rPr>
        <w:lastRenderedPageBreak/>
        <w:drawing>
          <wp:inline distT="0" distB="0" distL="0" distR="0">
            <wp:extent cx="5760720" cy="8404860"/>
            <wp:effectExtent l="0" t="0" r="0" b="0"/>
            <wp:docPr id="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404860"/>
                    </a:xfrm>
                    <a:prstGeom prst="rect">
                      <a:avLst/>
                    </a:prstGeom>
                    <a:noFill/>
                    <a:ln>
                      <a:noFill/>
                    </a:ln>
                  </pic:spPr>
                </pic:pic>
              </a:graphicData>
            </a:graphic>
          </wp:inline>
        </w:drawing>
      </w:r>
    </w:p>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851B1E">
      <w:pPr>
        <w:spacing w:line="480" w:lineRule="atLeast"/>
        <w:jc w:val="center"/>
        <w:rPr>
          <w:rFonts w:ascii="ＭＳ 明朝" w:eastAsia="ＭＳ 明朝" w:hAnsi="ＭＳ 明朝" w:cs="ＭＳ 明朝"/>
          <w:color w:val="000000"/>
        </w:rPr>
      </w:pPr>
      <w:r w:rsidRPr="00E04707">
        <w:rPr>
          <w:rFonts w:ascii="ＭＳ 明朝" w:eastAsia="ＭＳ 明朝" w:hAnsi="ＭＳ 明朝" w:cs="ＭＳ 明朝"/>
          <w:noProof/>
          <w:color w:val="000000"/>
        </w:rPr>
        <w:lastRenderedPageBreak/>
        <w:drawing>
          <wp:inline distT="0" distB="0" distL="0" distR="0">
            <wp:extent cx="5760720" cy="7627620"/>
            <wp:effectExtent l="0" t="0" r="0"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627620"/>
                    </a:xfrm>
                    <a:prstGeom prst="rect">
                      <a:avLst/>
                    </a:prstGeom>
                    <a:noFill/>
                    <a:ln>
                      <a:noFill/>
                    </a:ln>
                  </pic:spPr>
                </pic:pic>
              </a:graphicData>
            </a:graphic>
          </wp:inline>
        </w:drawing>
      </w:r>
    </w:p>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851B1E">
      <w:pPr>
        <w:spacing w:line="480" w:lineRule="atLeast"/>
        <w:jc w:val="center"/>
        <w:rPr>
          <w:rFonts w:ascii="ＭＳ 明朝" w:eastAsia="ＭＳ 明朝" w:hAnsi="ＭＳ 明朝" w:cs="ＭＳ 明朝"/>
          <w:color w:val="000000"/>
        </w:rPr>
      </w:pPr>
      <w:r w:rsidRPr="00E04707">
        <w:rPr>
          <w:rFonts w:ascii="ＭＳ 明朝" w:eastAsia="ＭＳ 明朝" w:hAnsi="ＭＳ 明朝" w:cs="ＭＳ 明朝"/>
          <w:noProof/>
          <w:color w:val="000000"/>
        </w:rPr>
        <w:lastRenderedPageBreak/>
        <w:drawing>
          <wp:inline distT="0" distB="0" distL="0" distR="0">
            <wp:extent cx="5760720" cy="6507480"/>
            <wp:effectExtent l="0" t="0" r="0" b="0"/>
            <wp:docPr id="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507480"/>
                    </a:xfrm>
                    <a:prstGeom prst="rect">
                      <a:avLst/>
                    </a:prstGeom>
                    <a:noFill/>
                    <a:ln>
                      <a:noFill/>
                    </a:ln>
                  </pic:spPr>
                </pic:pic>
              </a:graphicData>
            </a:graphic>
          </wp:inline>
        </w:drawing>
      </w:r>
    </w:p>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851B1E">
      <w:pPr>
        <w:spacing w:line="480" w:lineRule="atLeast"/>
        <w:jc w:val="center"/>
        <w:rPr>
          <w:rFonts w:ascii="ＭＳ 明朝" w:eastAsia="ＭＳ 明朝" w:hAnsi="ＭＳ 明朝" w:cs="ＭＳ 明朝"/>
          <w:color w:val="000000"/>
        </w:rPr>
      </w:pPr>
      <w:r w:rsidRPr="00E04707">
        <w:rPr>
          <w:rFonts w:ascii="ＭＳ 明朝" w:eastAsia="ＭＳ 明朝" w:hAnsi="ＭＳ 明朝" w:cs="ＭＳ 明朝"/>
          <w:noProof/>
          <w:color w:val="000000"/>
        </w:rPr>
        <w:lastRenderedPageBreak/>
        <w:drawing>
          <wp:inline distT="0" distB="0" distL="0" distR="0">
            <wp:extent cx="5760720" cy="7101840"/>
            <wp:effectExtent l="0" t="0" r="0" b="0"/>
            <wp:docPr id="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101840"/>
                    </a:xfrm>
                    <a:prstGeom prst="rect">
                      <a:avLst/>
                    </a:prstGeom>
                    <a:noFill/>
                    <a:ln>
                      <a:noFill/>
                    </a:ln>
                  </pic:spPr>
                </pic:pic>
              </a:graphicData>
            </a:graphic>
          </wp:inline>
        </w:drawing>
      </w:r>
    </w:p>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851B1E">
      <w:pPr>
        <w:spacing w:line="480" w:lineRule="atLeast"/>
        <w:jc w:val="center"/>
        <w:rPr>
          <w:rFonts w:ascii="ＭＳ 明朝" w:eastAsia="ＭＳ 明朝" w:hAnsi="ＭＳ 明朝" w:cs="ＭＳ 明朝"/>
          <w:color w:val="000000"/>
        </w:rPr>
      </w:pPr>
      <w:r w:rsidRPr="00E04707">
        <w:rPr>
          <w:rFonts w:ascii="ＭＳ 明朝" w:eastAsia="ＭＳ 明朝" w:hAnsi="ＭＳ 明朝" w:cs="ＭＳ 明朝"/>
          <w:noProof/>
          <w:color w:val="000000"/>
        </w:rPr>
        <w:lastRenderedPageBreak/>
        <w:drawing>
          <wp:inline distT="0" distB="0" distL="0" distR="0">
            <wp:extent cx="5760720" cy="8374380"/>
            <wp:effectExtent l="0" t="0" r="0" b="0"/>
            <wp:docPr id="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374380"/>
                    </a:xfrm>
                    <a:prstGeom prst="rect">
                      <a:avLst/>
                    </a:prstGeom>
                    <a:noFill/>
                    <a:ln>
                      <a:noFill/>
                    </a:ln>
                  </pic:spPr>
                </pic:pic>
              </a:graphicData>
            </a:graphic>
          </wp:inline>
        </w:drawing>
      </w:r>
    </w:p>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851B1E">
      <w:pPr>
        <w:spacing w:line="480" w:lineRule="atLeast"/>
        <w:jc w:val="center"/>
        <w:rPr>
          <w:rFonts w:ascii="ＭＳ 明朝" w:eastAsia="ＭＳ 明朝" w:hAnsi="ＭＳ 明朝" w:cs="ＭＳ 明朝"/>
          <w:color w:val="000000"/>
        </w:rPr>
      </w:pPr>
      <w:r w:rsidRPr="00E04707">
        <w:rPr>
          <w:rFonts w:ascii="ＭＳ 明朝" w:eastAsia="ＭＳ 明朝" w:hAnsi="ＭＳ 明朝" w:cs="ＭＳ 明朝"/>
          <w:noProof/>
          <w:color w:val="000000"/>
        </w:rPr>
        <w:lastRenderedPageBreak/>
        <w:drawing>
          <wp:inline distT="0" distB="0" distL="0" distR="0">
            <wp:extent cx="5760720" cy="8039100"/>
            <wp:effectExtent l="0" t="0" r="0" b="0"/>
            <wp:docPr id="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039100"/>
                    </a:xfrm>
                    <a:prstGeom prst="rect">
                      <a:avLst/>
                    </a:prstGeom>
                    <a:noFill/>
                    <a:ln>
                      <a:noFill/>
                    </a:ln>
                  </pic:spPr>
                </pic:pic>
              </a:graphicData>
            </a:graphic>
          </wp:inline>
        </w:drawing>
      </w:r>
    </w:p>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851B1E">
      <w:pPr>
        <w:spacing w:line="480" w:lineRule="atLeast"/>
        <w:jc w:val="center"/>
        <w:rPr>
          <w:rFonts w:ascii="ＭＳ 明朝" w:eastAsia="ＭＳ 明朝" w:hAnsi="ＭＳ 明朝" w:cs="ＭＳ 明朝"/>
          <w:color w:val="000000"/>
        </w:rPr>
      </w:pPr>
      <w:r w:rsidRPr="00E04707">
        <w:rPr>
          <w:rFonts w:ascii="ＭＳ 明朝" w:eastAsia="ＭＳ 明朝" w:hAnsi="ＭＳ 明朝" w:cs="ＭＳ 明朝"/>
          <w:noProof/>
          <w:color w:val="000000"/>
        </w:rPr>
        <w:lastRenderedPageBreak/>
        <w:drawing>
          <wp:inline distT="0" distB="0" distL="0" distR="0">
            <wp:extent cx="5760720" cy="5600700"/>
            <wp:effectExtent l="0" t="0" r="0" b="0"/>
            <wp:docPr id="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5600700"/>
                    </a:xfrm>
                    <a:prstGeom prst="rect">
                      <a:avLst/>
                    </a:prstGeom>
                    <a:noFill/>
                    <a:ln>
                      <a:noFill/>
                    </a:ln>
                  </pic:spPr>
                </pic:pic>
              </a:graphicData>
            </a:graphic>
          </wp:inline>
        </w:drawing>
      </w:r>
    </w:p>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851B1E">
      <w:pPr>
        <w:spacing w:line="480" w:lineRule="atLeast"/>
        <w:jc w:val="center"/>
        <w:rPr>
          <w:rFonts w:ascii="ＭＳ 明朝" w:eastAsia="ＭＳ 明朝" w:hAnsi="ＭＳ 明朝" w:cs="ＭＳ 明朝"/>
          <w:color w:val="000000"/>
        </w:rPr>
      </w:pPr>
      <w:r w:rsidRPr="00E04707">
        <w:rPr>
          <w:rFonts w:ascii="ＭＳ 明朝" w:eastAsia="ＭＳ 明朝" w:hAnsi="ＭＳ 明朝" w:cs="ＭＳ 明朝"/>
          <w:noProof/>
          <w:color w:val="000000"/>
        </w:rPr>
        <w:lastRenderedPageBreak/>
        <w:drawing>
          <wp:inline distT="0" distB="0" distL="0" distR="0">
            <wp:extent cx="5760720" cy="5745480"/>
            <wp:effectExtent l="0" t="0" r="0" b="0"/>
            <wp:docPr id="1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745480"/>
                    </a:xfrm>
                    <a:prstGeom prst="rect">
                      <a:avLst/>
                    </a:prstGeom>
                    <a:noFill/>
                    <a:ln>
                      <a:noFill/>
                    </a:ln>
                  </pic:spPr>
                </pic:pic>
              </a:graphicData>
            </a:graphic>
          </wp:inline>
        </w:drawing>
      </w:r>
    </w:p>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851B1E">
      <w:pPr>
        <w:spacing w:line="480" w:lineRule="atLeast"/>
        <w:jc w:val="center"/>
        <w:rPr>
          <w:rFonts w:ascii="ＭＳ 明朝" w:eastAsia="ＭＳ 明朝" w:hAnsi="ＭＳ 明朝" w:cs="ＭＳ 明朝"/>
          <w:color w:val="000000"/>
        </w:rPr>
      </w:pPr>
      <w:r w:rsidRPr="00E04707">
        <w:rPr>
          <w:rFonts w:ascii="ＭＳ 明朝" w:eastAsia="ＭＳ 明朝" w:hAnsi="ＭＳ 明朝" w:cs="ＭＳ 明朝"/>
          <w:noProof/>
          <w:color w:val="000000"/>
        </w:rPr>
        <w:lastRenderedPageBreak/>
        <w:drawing>
          <wp:inline distT="0" distB="0" distL="0" distR="0">
            <wp:extent cx="5760720" cy="6492240"/>
            <wp:effectExtent l="0" t="0" r="0" b="0"/>
            <wp:docPr id="1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6492240"/>
                    </a:xfrm>
                    <a:prstGeom prst="rect">
                      <a:avLst/>
                    </a:prstGeom>
                    <a:noFill/>
                    <a:ln>
                      <a:noFill/>
                    </a:ln>
                  </pic:spPr>
                </pic:pic>
              </a:graphicData>
            </a:graphic>
          </wp:inline>
        </w:drawing>
      </w:r>
    </w:p>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851B1E">
      <w:pPr>
        <w:spacing w:line="480" w:lineRule="atLeast"/>
        <w:jc w:val="center"/>
        <w:rPr>
          <w:rFonts w:ascii="ＭＳ 明朝" w:eastAsia="ＭＳ 明朝" w:hAnsi="ＭＳ 明朝" w:cs="ＭＳ 明朝"/>
          <w:color w:val="000000"/>
        </w:rPr>
      </w:pPr>
      <w:r w:rsidRPr="00E04707">
        <w:rPr>
          <w:rFonts w:ascii="ＭＳ 明朝" w:eastAsia="ＭＳ 明朝" w:hAnsi="ＭＳ 明朝" w:cs="ＭＳ 明朝"/>
          <w:noProof/>
          <w:color w:val="000000"/>
        </w:rPr>
        <w:lastRenderedPageBreak/>
        <w:drawing>
          <wp:inline distT="0" distB="0" distL="0" distR="0">
            <wp:extent cx="5760720" cy="7627620"/>
            <wp:effectExtent l="0" t="0" r="0" b="0"/>
            <wp:docPr id="1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7627620"/>
                    </a:xfrm>
                    <a:prstGeom prst="rect">
                      <a:avLst/>
                    </a:prstGeom>
                    <a:noFill/>
                    <a:ln>
                      <a:noFill/>
                    </a:ln>
                  </pic:spPr>
                </pic:pic>
              </a:graphicData>
            </a:graphic>
          </wp:inline>
        </w:drawing>
      </w:r>
    </w:p>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B53EBF">
      <w:pPr>
        <w:spacing w:line="480" w:lineRule="atLeast"/>
        <w:jc w:val="center"/>
        <w:rPr>
          <w:rFonts w:ascii="ＭＳ 明朝" w:eastAsia="ＭＳ 明朝" w:hAnsi="ＭＳ 明朝" w:cs="ＭＳ 明朝"/>
          <w:color w:val="000000"/>
        </w:rPr>
      </w:pPr>
    </w:p>
    <w:p w:rsidR="00B53EBF" w:rsidRDefault="00851B1E">
      <w:pPr>
        <w:sectPr w:rsidR="00B53EBF">
          <w:pgSz w:w="11905" w:h="16837"/>
          <w:pgMar w:top="1417" w:right="1417" w:bottom="1417" w:left="1417" w:header="720" w:footer="720" w:gutter="0"/>
          <w:cols w:space="720"/>
          <w:noEndnote/>
          <w:docGrid w:type="linesAndChars" w:linePitch="466" w:charSpace="-409"/>
        </w:sectPr>
      </w:pPr>
      <w:r>
        <w:rPr>
          <w:noProof/>
        </w:rPr>
        <w:drawing>
          <wp:inline distT="0" distB="0" distL="0" distR="0">
            <wp:extent cx="5779770" cy="8114665"/>
            <wp:effectExtent l="0" t="0" r="0" b="0"/>
            <wp:docPr id="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9770" cy="8114665"/>
                    </a:xfrm>
                    <a:prstGeom prst="rect">
                      <a:avLst/>
                    </a:prstGeom>
                    <a:noFill/>
                    <a:ln>
                      <a:noFill/>
                    </a:ln>
                  </pic:spPr>
                </pic:pic>
              </a:graphicData>
            </a:graphic>
          </wp:inline>
        </w:drawing>
      </w:r>
    </w:p>
    <w:p w:rsidR="00B53EBF" w:rsidRDefault="00851B1E">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79770" cy="8895080"/>
            <wp:effectExtent l="0" t="0" r="0" b="0"/>
            <wp:docPr id="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9770" cy="8895080"/>
                    </a:xfrm>
                    <a:prstGeom prst="rect">
                      <a:avLst/>
                    </a:prstGeom>
                    <a:noFill/>
                    <a:ln>
                      <a:noFill/>
                    </a:ln>
                  </pic:spPr>
                </pic:pic>
              </a:graphicData>
            </a:graphic>
          </wp:inline>
        </w:drawing>
      </w:r>
    </w:p>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851B1E">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779770" cy="7309485"/>
            <wp:effectExtent l="0" t="0" r="0" b="0"/>
            <wp:docPr id="1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9770" cy="7309485"/>
                    </a:xfrm>
                    <a:prstGeom prst="rect">
                      <a:avLst/>
                    </a:prstGeom>
                    <a:noFill/>
                    <a:ln>
                      <a:noFill/>
                    </a:ln>
                  </pic:spPr>
                </pic:pic>
              </a:graphicData>
            </a:graphic>
          </wp:inline>
        </w:drawing>
      </w:r>
    </w:p>
    <w:p w:rsidR="00B53EBF" w:rsidRDefault="00B53EBF">
      <w:pPr>
        <w:sectPr w:rsidR="00B53EBF">
          <w:pgSz w:w="11905" w:h="16837"/>
          <w:pgMar w:top="1417" w:right="1417" w:bottom="1417" w:left="1417" w:header="720" w:footer="720" w:gutter="0"/>
          <w:cols w:space="720"/>
          <w:noEndnote/>
          <w:docGrid w:type="linesAndChars" w:linePitch="466" w:charSpace="-409"/>
        </w:sectPr>
      </w:pP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別記１</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様式第１号（第５条関係）</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様式第２号（第５条関係）</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様式第３号（第５条関係）</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様式第４号（第６条関係）</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様式第５号（第７条関係）</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様式第６号（第７条関係）</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様式第７号（第８条関係）</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様式第８号（第８条関係）</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様式第９号（第９条関係）</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様式第１０号（第９条関係）</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様式第１１号（第１０条関係）</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様式第１２号（第１１条関係）</w:t>
      </w:r>
    </w:p>
    <w:p w:rsidR="00B53EBF" w:rsidRDefault="00B53EB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様式第１３号（第１２条関係）</w:t>
      </w:r>
    </w:p>
    <w:p w:rsidR="00B53EBF" w:rsidRDefault="00B53EBF">
      <w:pPr>
        <w:spacing w:line="480" w:lineRule="atLeast"/>
        <w:rPr>
          <w:rFonts w:ascii="ＭＳ 明朝" w:eastAsia="ＭＳ 明朝" w:hAnsi="ＭＳ 明朝" w:cs="ＭＳ 明朝"/>
          <w:color w:val="000000"/>
        </w:rPr>
      </w:pPr>
      <w:bookmarkStart w:id="1" w:name="last"/>
      <w:bookmarkEnd w:id="1"/>
    </w:p>
    <w:sectPr w:rsidR="00B53EBF">
      <w:pgSz w:w="11905" w:h="16837"/>
      <w:pgMar w:top="1417" w:right="1417" w:bottom="1417" w:left="1417" w:header="720" w:footer="720" w:gutter="0"/>
      <w:cols w:space="720"/>
      <w:noEndnote/>
      <w:docGrid w:type="linesAndChars" w:linePitch="4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B1E" w:rsidRDefault="00851B1E" w:rsidP="00851B1E">
      <w:r>
        <w:separator/>
      </w:r>
    </w:p>
  </w:endnote>
  <w:endnote w:type="continuationSeparator" w:id="0">
    <w:p w:rsidR="00851B1E" w:rsidRDefault="00851B1E" w:rsidP="0085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B1E" w:rsidRDefault="00851B1E" w:rsidP="00851B1E">
      <w:r>
        <w:separator/>
      </w:r>
    </w:p>
  </w:footnote>
  <w:footnote w:type="continuationSeparator" w:id="0">
    <w:p w:rsidR="00851B1E" w:rsidRDefault="00851B1E" w:rsidP="00851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9"/>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EE"/>
    <w:rsid w:val="005364EE"/>
    <w:rsid w:val="006F4F09"/>
    <w:rsid w:val="00851B1E"/>
    <w:rsid w:val="00B53EBF"/>
    <w:rsid w:val="00E04707"/>
    <w:rsid w:val="00FA0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E77EB10-C043-47F0-8090-C576B0FE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71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A071B"/>
    <w:rPr>
      <w:rFonts w:asciiTheme="majorHAnsi" w:eastAsiaTheme="majorEastAsia" w:hAnsiTheme="majorHAnsi" w:cs="Times New Roman"/>
      <w:kern w:val="0"/>
      <w:sz w:val="18"/>
      <w:szCs w:val="18"/>
    </w:rPr>
  </w:style>
  <w:style w:type="paragraph" w:styleId="a5">
    <w:name w:val="header"/>
    <w:basedOn w:val="a"/>
    <w:link w:val="a6"/>
    <w:uiPriority w:val="99"/>
    <w:unhideWhenUsed/>
    <w:rsid w:val="00851B1E"/>
    <w:pPr>
      <w:tabs>
        <w:tab w:val="center" w:pos="4252"/>
        <w:tab w:val="right" w:pos="8504"/>
      </w:tabs>
      <w:snapToGrid w:val="0"/>
    </w:pPr>
  </w:style>
  <w:style w:type="character" w:customStyle="1" w:styleId="a6">
    <w:name w:val="ヘッダー (文字)"/>
    <w:basedOn w:val="a0"/>
    <w:link w:val="a5"/>
    <w:uiPriority w:val="99"/>
    <w:rsid w:val="00851B1E"/>
    <w:rPr>
      <w:rFonts w:ascii="Arial" w:hAnsi="Arial" w:cs="Arial"/>
      <w:kern w:val="0"/>
      <w:sz w:val="24"/>
      <w:szCs w:val="24"/>
    </w:rPr>
  </w:style>
  <w:style w:type="paragraph" w:styleId="a7">
    <w:name w:val="footer"/>
    <w:basedOn w:val="a"/>
    <w:link w:val="a8"/>
    <w:uiPriority w:val="99"/>
    <w:unhideWhenUsed/>
    <w:rsid w:val="00851B1E"/>
    <w:pPr>
      <w:tabs>
        <w:tab w:val="center" w:pos="4252"/>
        <w:tab w:val="right" w:pos="8504"/>
      </w:tabs>
      <w:snapToGrid w:val="0"/>
    </w:pPr>
  </w:style>
  <w:style w:type="character" w:customStyle="1" w:styleId="a8">
    <w:name w:val="フッター (文字)"/>
    <w:basedOn w:val="a0"/>
    <w:link w:val="a7"/>
    <w:uiPriority w:val="99"/>
    <w:rsid w:val="00851B1E"/>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713</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遼平</dc:creator>
  <cp:keywords/>
  <dc:description/>
  <cp:lastModifiedBy>井上　遼平</cp:lastModifiedBy>
  <cp:revision>2</cp:revision>
  <cp:lastPrinted>2024-05-02T08:34:00Z</cp:lastPrinted>
  <dcterms:created xsi:type="dcterms:W3CDTF">2024-05-07T00:39:00Z</dcterms:created>
  <dcterms:modified xsi:type="dcterms:W3CDTF">2024-05-07T00:39:00Z</dcterms:modified>
</cp:coreProperties>
</file>